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11499">
      <w:pPr>
        <w:ind w:left="315" w:right="926" w:firstLine="723" w:firstLineChars="200"/>
        <w:jc w:val="center"/>
        <w:rPr>
          <w:rFonts w:ascii="仿宋_GB2312" w:hAnsi="Calibri" w:eastAsia="仿宋_GB2312" w:cs="Times New Roman"/>
          <w:b/>
          <w:sz w:val="36"/>
          <w:szCs w:val="36"/>
        </w:rPr>
      </w:pPr>
      <w:r>
        <w:rPr>
          <w:rFonts w:ascii="仿宋_GB2312" w:hAnsi="Calibri" w:eastAsia="仿宋_GB2312" w:cs="Times New Roman"/>
          <w:b/>
          <w:sz w:val="36"/>
          <w:szCs w:val="36"/>
        </w:rPr>
        <w:t>安徽省</w:t>
      </w:r>
      <w:r>
        <w:rPr>
          <w:rFonts w:hint="eastAsia" w:ascii="仿宋_GB2312" w:hAnsi="Calibri" w:eastAsia="仿宋_GB2312" w:cs="Times New Roman"/>
          <w:b/>
          <w:sz w:val="36"/>
          <w:szCs w:val="36"/>
        </w:rPr>
        <w:t>皖北地下水</w:t>
      </w:r>
    </w:p>
    <w:p w14:paraId="501358C5">
      <w:pPr>
        <w:ind w:left="315" w:right="926" w:firstLine="723" w:firstLineChars="200"/>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高效开发利用和灾害防治</w:t>
      </w:r>
      <w:r>
        <w:rPr>
          <w:rFonts w:ascii="仿宋_GB2312" w:hAnsi="Calibri" w:eastAsia="仿宋_GB2312" w:cs="Times New Roman"/>
          <w:b/>
          <w:sz w:val="36"/>
          <w:szCs w:val="36"/>
        </w:rPr>
        <w:t>工程研究中心</w:t>
      </w:r>
    </w:p>
    <w:p w14:paraId="30783754">
      <w:pPr>
        <w:ind w:left="315" w:right="926" w:firstLine="723" w:firstLineChars="200"/>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开放基金课题管理办法(试行)</w:t>
      </w:r>
    </w:p>
    <w:p w14:paraId="43A39AAD">
      <w:pPr>
        <w:ind w:left="315" w:right="926" w:firstLine="723" w:firstLineChars="200"/>
        <w:jc w:val="center"/>
        <w:rPr>
          <w:rFonts w:ascii="仿宋_GB2312" w:hAnsi="Calibri" w:eastAsia="仿宋_GB2312" w:cs="Times New Roman"/>
          <w:b/>
          <w:sz w:val="36"/>
          <w:szCs w:val="36"/>
        </w:rPr>
      </w:pPr>
    </w:p>
    <w:p w14:paraId="0D32BF70">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第一章 总则</w:t>
      </w:r>
    </w:p>
    <w:p w14:paraId="128CC522">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第一条 为推动皖北地下水高效开发利用和灾害防治工程技术研究与科技自主创新，充分发挥</w:t>
      </w:r>
      <w:r>
        <w:rPr>
          <w:rFonts w:ascii="仿宋_GB2312" w:hAnsi="Calibri" w:eastAsia="仿宋_GB2312" w:cs="Times New Roman"/>
          <w:sz w:val="28"/>
          <w:szCs w:val="28"/>
        </w:rPr>
        <w:t>安徽省</w:t>
      </w:r>
      <w:r>
        <w:rPr>
          <w:rFonts w:hint="eastAsia" w:ascii="仿宋_GB2312" w:hAnsi="Calibri" w:eastAsia="仿宋_GB2312" w:cs="Times New Roman"/>
          <w:sz w:val="28"/>
          <w:szCs w:val="28"/>
        </w:rPr>
        <w:t>皖北地下水高效开发利用和灾害防治</w:t>
      </w:r>
      <w:r>
        <w:rPr>
          <w:rFonts w:ascii="仿宋_GB2312" w:hAnsi="Calibri" w:eastAsia="仿宋_GB2312" w:cs="Times New Roman"/>
          <w:sz w:val="28"/>
          <w:szCs w:val="28"/>
        </w:rPr>
        <w:t>工程研究中心</w:t>
      </w:r>
      <w:r>
        <w:rPr>
          <w:rFonts w:hint="eastAsia" w:ascii="仿宋_GB2312" w:hAnsi="Calibri" w:eastAsia="仿宋_GB2312" w:cs="Times New Roman"/>
          <w:sz w:val="28"/>
          <w:szCs w:val="28"/>
        </w:rPr>
        <w:t xml:space="preserve"> (以下简称“中心”)的重要作用，着重高层次人才培养工作，吸引相关科研技术人员利用中心的条件开展高层次、高水平的研究工作，取得高水平的研究创新成果，中心设立开放基金课题(以下简称“课题”)。</w:t>
      </w:r>
    </w:p>
    <w:p w14:paraId="09D060AF">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第二条 中心每年公布一次《安徽省皖北地下水高效开发利用和灾害防治工程研究中心开放基金课题申报指南》，明确拟资助的主要研究方向，并在相关网站上发布。</w:t>
      </w:r>
    </w:p>
    <w:p w14:paraId="6AC6B972">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第三条 中心实行“开放、流动、协同、竞争”的运行机制;坚持特色创建、年度考核、动态资助。</w:t>
      </w:r>
    </w:p>
    <w:p w14:paraId="6A999527">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第二章 资助范围与对象</w:t>
      </w:r>
    </w:p>
    <w:p w14:paraId="753250A9">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第四条 申请开放基金资助的研究选题应在《指南》规定的范围</w:t>
      </w:r>
    </w:p>
    <w:p w14:paraId="644C60DE">
      <w:pPr>
        <w:spacing w:line="360" w:lineRule="auto"/>
        <w:ind w:firstLine="0" w:firstLineChars="0"/>
        <w:jc w:val="left"/>
        <w:rPr>
          <w:rFonts w:ascii="仿宋_GB2312" w:hAnsi="Calibri" w:eastAsia="仿宋_GB2312" w:cs="Times New Roman"/>
          <w:sz w:val="28"/>
          <w:szCs w:val="28"/>
        </w:rPr>
      </w:pPr>
      <w:r>
        <w:rPr>
          <w:rFonts w:hint="eastAsia" w:ascii="仿宋_GB2312" w:hAnsi="Calibri" w:eastAsia="仿宋_GB2312" w:cs="Times New Roman"/>
          <w:sz w:val="28"/>
          <w:szCs w:val="28"/>
        </w:rPr>
        <w:t>内。</w:t>
      </w:r>
    </w:p>
    <w:p w14:paraId="632820F6">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第五条 课题申请人须为具有博士学位或中级及以上专业技术职称的国内外科研人员，若申请人不具有博士学位或中级及以上专业</w:t>
      </w:r>
    </w:p>
    <w:p w14:paraId="26F070A6">
      <w:pPr>
        <w:ind w:right="926" w:firstLine="0" w:firstLineChars="0"/>
        <w:jc w:val="left"/>
        <w:rPr>
          <w:rFonts w:ascii="仿宋_GB2312" w:hAnsi="Calibri" w:eastAsia="仿宋_GB2312" w:cs="Times New Roman"/>
          <w:sz w:val="28"/>
          <w:szCs w:val="28"/>
        </w:rPr>
      </w:pPr>
      <w:r>
        <w:rPr>
          <w:rFonts w:hint="eastAsia" w:ascii="仿宋_GB2312" w:hAnsi="Calibri" w:eastAsia="仿宋_GB2312" w:cs="Times New Roman"/>
          <w:sz w:val="28"/>
          <w:szCs w:val="28"/>
        </w:rPr>
        <w:t>技术职称，须由两名具有高级专业职称的同行专家推荐。</w:t>
      </w:r>
    </w:p>
    <w:p w14:paraId="403994B3">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第六条 鼓励校外研究人员结合中心研究方向，自带课题和经费利用中心的科研条件开展科学研究。</w:t>
      </w:r>
    </w:p>
    <w:p w14:paraId="0513076C">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第三章</w:t>
      </w:r>
      <w:r>
        <w:rPr>
          <w:rFonts w:hint="eastAsia" w:ascii="仿宋_GB2312" w:hAnsi="Calibri" w:eastAsia="仿宋_GB2312" w:cs="Times New Roman"/>
          <w:b/>
          <w:sz w:val="28"/>
          <w:szCs w:val="28"/>
          <w:lang w:val="en-US" w:eastAsia="zh-CN"/>
        </w:rPr>
        <w:t xml:space="preserve"> </w:t>
      </w:r>
      <w:r>
        <w:rPr>
          <w:rFonts w:hint="eastAsia" w:ascii="仿宋_GB2312" w:hAnsi="Calibri" w:eastAsia="仿宋_GB2312" w:cs="Times New Roman"/>
          <w:b/>
          <w:sz w:val="28"/>
          <w:szCs w:val="28"/>
        </w:rPr>
        <w:t>课题的申请与审批</w:t>
      </w:r>
    </w:p>
    <w:p w14:paraId="65BEC91D">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第七条 课题资助类别包括重点和一般两类，重点课题不超过10万元/项，一般课题不超过5万元/项</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原则上</w:t>
      </w:r>
      <w:r>
        <w:rPr>
          <w:rFonts w:hint="eastAsia" w:ascii="仿宋_GB2312" w:hAnsi="Calibri" w:eastAsia="仿宋_GB2312" w:cs="Times New Roman"/>
          <w:sz w:val="28"/>
          <w:szCs w:val="28"/>
        </w:rPr>
        <w:t>支持重点课题不超过</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项，课题研究期限原则为2年。</w:t>
      </w:r>
    </w:p>
    <w:p w14:paraId="4931F9BC">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第八条《指南》发布后，开始受理申请。申请人需编制课题申请书，并在规定时间内按《指南》要求提供相关申请材料至中心。</w:t>
      </w:r>
    </w:p>
    <w:p w14:paraId="5F71878F">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第九条 中心</w:t>
      </w:r>
      <w:r>
        <w:rPr>
          <w:rFonts w:hint="eastAsia" w:ascii="仿宋_GB2312" w:hAnsi="Calibri" w:eastAsia="仿宋_GB2312" w:cs="Times New Roman"/>
          <w:sz w:val="28"/>
          <w:szCs w:val="28"/>
          <w:lang w:val="en-US" w:eastAsia="zh-CN"/>
        </w:rPr>
        <w:t>技术</w:t>
      </w:r>
      <w:bookmarkStart w:id="0" w:name="_GoBack"/>
      <w:bookmarkEnd w:id="0"/>
      <w:r>
        <w:rPr>
          <w:rFonts w:hint="eastAsia" w:ascii="仿宋_GB2312" w:hAnsi="Calibri" w:eastAsia="仿宋_GB2312" w:cs="Times New Roman"/>
          <w:sz w:val="28"/>
          <w:szCs w:val="28"/>
        </w:rPr>
        <w:t>委员会组织评审，根据评审结果，中心发布立项批准书，通知申请人及其所在单位。</w:t>
      </w:r>
    </w:p>
    <w:p w14:paraId="52AB3687">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第十条 课题获中心资助后，课题负责人与中心签订科研合同书，合同书经双方签字盖章生效后，课题的立项阶段完成，开始进入实施阶段。主要研究人员每年应按计划来中心开展研究工作，中心指派专人按中心管理办法为课题研究工作提供服务与技术支持。</w:t>
      </w:r>
    </w:p>
    <w:p w14:paraId="29F0352A">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第四章</w:t>
      </w:r>
      <w:r>
        <w:rPr>
          <w:rFonts w:hint="eastAsia" w:ascii="仿宋_GB2312" w:hAnsi="Calibri" w:eastAsia="仿宋_GB2312" w:cs="Times New Roman"/>
          <w:b/>
          <w:sz w:val="28"/>
          <w:szCs w:val="28"/>
          <w:lang w:val="en-US" w:eastAsia="zh-CN"/>
        </w:rPr>
        <w:t xml:space="preserve"> </w:t>
      </w:r>
      <w:r>
        <w:rPr>
          <w:rFonts w:hint="eastAsia" w:ascii="仿宋_GB2312" w:hAnsi="Calibri" w:eastAsia="仿宋_GB2312" w:cs="Times New Roman"/>
          <w:b/>
          <w:sz w:val="28"/>
          <w:szCs w:val="28"/>
        </w:rPr>
        <w:t>课题的实施与管理</w:t>
      </w:r>
    </w:p>
    <w:p w14:paraId="57E6EFFE">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第十一条 鼓励中心研究人员积极参与课题的研究工作。课题负责人可根据中心研究人员专长，自</w:t>
      </w:r>
      <w:r>
        <w:rPr>
          <w:rFonts w:hint="eastAsia" w:ascii="仿宋_GB2312" w:hAnsi="Calibri" w:eastAsia="仿宋_GB2312" w:cs="Times New Roman"/>
          <w:sz w:val="28"/>
          <w:szCs w:val="28"/>
          <w:lang w:val="en-US" w:eastAsia="zh-CN"/>
        </w:rPr>
        <w:t>行</w:t>
      </w:r>
      <w:r>
        <w:rPr>
          <w:rFonts w:hint="eastAsia" w:ascii="仿宋_GB2312" w:hAnsi="Calibri" w:eastAsia="仿宋_GB2312" w:cs="Times New Roman"/>
          <w:sz w:val="28"/>
          <w:szCs w:val="28"/>
        </w:rPr>
        <w:t>联系研究人员参与，或由中心推荐研究人员参与课题。课题实施过程中，研究人员应积极承担在中心开展的实验等研究任务，并为课题研究工作的顺利实施提供全力的支持与帮助。</w:t>
      </w:r>
    </w:p>
    <w:p w14:paraId="30325CAD">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第十二条 课题实施过程中，在研究目标、研究内容发生较大变动，或中止课题、提前结题、延长年限等，课题负责人须向中心提出申请，经中心批准后方能实施，延长年限不得超过</w:t>
      </w:r>
      <w:r>
        <w:rPr>
          <w:rFonts w:hint="eastAsia" w:ascii="仿宋_GB2312" w:hAnsi="Calibri" w:eastAsia="仿宋_GB2312" w:cs="Times New Roman"/>
          <w:sz w:val="28"/>
          <w:szCs w:val="28"/>
          <w:lang w:val="en-US" w:eastAsia="zh-CN"/>
        </w:rPr>
        <w:t>半</w:t>
      </w:r>
      <w:r>
        <w:rPr>
          <w:rFonts w:hint="eastAsia" w:ascii="仿宋_GB2312" w:hAnsi="Calibri" w:eastAsia="仿宋_GB2312" w:cs="Times New Roman"/>
          <w:sz w:val="28"/>
          <w:szCs w:val="28"/>
        </w:rPr>
        <w:t>年。</w:t>
      </w:r>
    </w:p>
    <w:p w14:paraId="1F179DCA">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第十三条 一般情况下，课题负责人不得代理或更换，遇有特殊情况，所在单位应安排合适代理人，并报中心备案。课题负责人工作调动，可依据具体情况选择在原单位或调入单位完成课题，但须调入调离双方及中心签署意见，并报中心审批及备案。</w:t>
      </w:r>
    </w:p>
    <w:p w14:paraId="2181B921">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第十四条 中心每年度对课题的执行情况进行检查，并举行进展汇报会。课题负责人应于每年</w:t>
      </w:r>
      <w:r>
        <w:rPr>
          <w:rFonts w:hint="eastAsia" w:ascii="仿宋_GB2312" w:hAnsi="Calibri" w:eastAsia="仿宋_GB2312" w:cs="Times New Roman"/>
          <w:sz w:val="28"/>
          <w:szCs w:val="28"/>
          <w:lang w:val="en-US" w:eastAsia="zh-CN"/>
        </w:rPr>
        <w:t>12月底前</w:t>
      </w:r>
      <w:r>
        <w:rPr>
          <w:rFonts w:hint="eastAsia" w:ascii="仿宋_GB2312" w:hAnsi="Calibri" w:eastAsia="仿宋_GB2312" w:cs="Times New Roman"/>
          <w:sz w:val="28"/>
          <w:szCs w:val="28"/>
        </w:rPr>
        <w:t>提交《开放基金资助课题年度进展报告》。</w:t>
      </w:r>
    </w:p>
    <w:p w14:paraId="174A458C">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第五章 课题经费的使用与管理</w:t>
      </w:r>
    </w:p>
    <w:p w14:paraId="1BD50986">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第十五条 课题经费开支包括间接管理费用和课题科研业务费(包括实验材料费、测试化验加工费、差旅费、会议费、出版/文献/信息传播/知识产权事务费、专家咨询费、劳务费等)。</w:t>
      </w:r>
    </w:p>
    <w:p w14:paraId="1859A5CA">
      <w:pPr>
        <w:spacing w:line="360" w:lineRule="auto"/>
        <w:ind w:firstLine="560" w:firstLineChars="200"/>
        <w:jc w:val="left"/>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第十六条 自合同签订之日起，课题负责人提出经费划拨申请，核定批准后拨付研究经费的70%至课题负责人所在单位，用作课题研究经费。课题负责人完成所有考核指标后，提交相应证明材料后划拨剩余30%至课题负责人所在单位，并完成课题结题工作</w:t>
      </w:r>
      <w:r>
        <w:rPr>
          <w:rFonts w:hint="eastAsia" w:ascii="仿宋_GB2312" w:hAnsi="Calibri" w:eastAsia="仿宋_GB2312" w:cs="Times New Roman"/>
          <w:sz w:val="28"/>
          <w:szCs w:val="28"/>
          <w:lang w:eastAsia="zh-CN"/>
        </w:rPr>
        <w:t>。</w:t>
      </w:r>
    </w:p>
    <w:p w14:paraId="4DA958C6">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第十七条 在研课题有下列情况之一者，中心有权视其情节给予暂停拨付或支付资助经费、终止课题并追回已拨付或支付费用等处理:  </w:t>
      </w:r>
    </w:p>
    <w:p w14:paraId="06DDB04D">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(1)弄虚作假、违背科学道德; </w:t>
      </w:r>
    </w:p>
    <w:p w14:paraId="70E191E9">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(2)项目执行不力，未开展实质性的研究工作;</w:t>
      </w:r>
    </w:p>
    <w:p w14:paraId="18188535">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(3)未按要求及时报送课题执行和进展情况，无故不接受中心</w:t>
      </w:r>
    </w:p>
    <w:p w14:paraId="1DC4850C">
      <w:pPr>
        <w:spacing w:line="360" w:lineRule="auto"/>
        <w:ind w:firstLine="0" w:firstLineChars="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对课题实施情况的检查、监督与审计; </w:t>
      </w:r>
    </w:p>
    <w:p w14:paraId="474098B3">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(4)课题资助经费的使用不符合有关财务制度的规定或有违反本管理办法的行为。</w:t>
      </w:r>
    </w:p>
    <w:p w14:paraId="02C1C19D">
      <w:pPr>
        <w:ind w:left="315" w:right="926" w:firstLine="562" w:firstLineChars="200"/>
        <w:jc w:val="center"/>
        <w:rPr>
          <w:rFonts w:ascii="仿宋_GB2312" w:hAnsi="Calibri" w:eastAsia="仿宋_GB2312" w:cs="Times New Roman"/>
          <w:b/>
          <w:sz w:val="28"/>
          <w:szCs w:val="28"/>
        </w:rPr>
      </w:pPr>
      <w:r>
        <w:rPr>
          <w:rFonts w:hint="eastAsia" w:ascii="仿宋_GB2312" w:hAnsi="Calibri" w:eastAsia="仿宋_GB2312" w:cs="Times New Roman"/>
          <w:b/>
          <w:sz w:val="28"/>
          <w:szCs w:val="28"/>
        </w:rPr>
        <w:t>第六章</w:t>
      </w:r>
      <w:r>
        <w:rPr>
          <w:rFonts w:hint="eastAsia" w:ascii="仿宋_GB2312" w:hAnsi="Calibri" w:eastAsia="仿宋_GB2312" w:cs="Times New Roman"/>
          <w:b/>
          <w:sz w:val="28"/>
          <w:szCs w:val="28"/>
          <w:lang w:val="en-US" w:eastAsia="zh-CN"/>
        </w:rPr>
        <w:t xml:space="preserve"> </w:t>
      </w:r>
      <w:r>
        <w:rPr>
          <w:rFonts w:hint="eastAsia" w:ascii="仿宋_GB2312" w:hAnsi="Calibri" w:eastAsia="仿宋_GB2312" w:cs="Times New Roman"/>
          <w:b/>
          <w:sz w:val="28"/>
          <w:szCs w:val="28"/>
        </w:rPr>
        <w:t>课题验收与成果管理</w:t>
      </w:r>
    </w:p>
    <w:p w14:paraId="6B41C1BF">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第十八条 课题完成后，课题负责人填写结题报告，三个月内向中心报送开放基金资助课题总结报告，学术论文原件、复印件及有关软硬件原始资料。中心将对课题完成情况进行评议，确定是否准予结题。结题为优秀的课题，可申请开放基金课题延续资助。向中心提交的材料包括:</w:t>
      </w:r>
    </w:p>
    <w:p w14:paraId="693C102F">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(1)研究工作总结与研究报告;</w:t>
      </w:r>
    </w:p>
    <w:p w14:paraId="1FB6172E">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(2)论文原件及复印件、著作原件:</w:t>
      </w:r>
    </w:p>
    <w:p w14:paraId="39D25D15">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(3)其他与课题相关成果的复印件;</w:t>
      </w:r>
    </w:p>
    <w:p w14:paraId="6DC2A831">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(4)研究工作中的原始技术档案、数据记录、图纸、底片、</w:t>
      </w:r>
      <w:r>
        <w:rPr>
          <w:rFonts w:hint="eastAsia" w:ascii="仿宋_GB2312" w:hAnsi="Calibri" w:eastAsia="仿宋_GB2312" w:cs="Times New Roman"/>
          <w:sz w:val="28"/>
          <w:szCs w:val="28"/>
          <w:lang w:val="en-US" w:eastAsia="zh-CN"/>
        </w:rPr>
        <w:t>影像</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软件、程序等资料及目录清单。</w:t>
      </w:r>
    </w:p>
    <w:p w14:paraId="736977C0">
      <w:pPr>
        <w:spacing w:line="360" w:lineRule="auto"/>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第十九条 课题所取得的研究成果由中心、研究者本人和其所在单位共享。论文须以中心为第一单位</w:t>
      </w:r>
      <w:r>
        <w:rPr>
          <w:rFonts w:hint="eastAsia" w:ascii="仿宋_GB2312" w:hAnsi="Calibri" w:eastAsia="仿宋_GB2312" w:cs="Times New Roman"/>
          <w:sz w:val="28"/>
          <w:szCs w:val="28"/>
          <w:lang w:val="en-US" w:eastAsia="zh-CN"/>
        </w:rPr>
        <w:t>。</w:t>
      </w:r>
      <w:r>
        <w:rPr>
          <w:rFonts w:hint="eastAsia" w:ascii="仿宋_GB2312" w:hAnsi="Calibri" w:eastAsia="仿宋_GB2312" w:cs="Times New Roman"/>
          <w:sz w:val="28"/>
          <w:szCs w:val="28"/>
        </w:rPr>
        <w:t>论文发表时中心署名方式如下:</w:t>
      </w:r>
    </w:p>
    <w:p w14:paraId="277D5EA9">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中文:安徽省皖北地下水高效开发利用和灾害防治工程研究中心</w:t>
      </w:r>
    </w:p>
    <w:p w14:paraId="2666A010">
      <w:pPr>
        <w:spacing w:line="360" w:lineRule="auto"/>
        <w:ind w:firstLine="560" w:firstLineChars="200"/>
        <w:jc w:val="left"/>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rPr>
        <w:t>英文:</w:t>
      </w:r>
      <w:r>
        <w:rPr>
          <w:rFonts w:hint="eastAsia" w:ascii="仿宋_GB2312" w:hAnsi="Calibri" w:eastAsia="仿宋_GB2312" w:cs="Times New Roman"/>
          <w:sz w:val="28"/>
          <w:szCs w:val="28"/>
          <w:lang w:val="en-US" w:eastAsia="zh-CN"/>
        </w:rPr>
        <w:t>Engineering Research Center for Efficient Development and Utilization of Groundwater and Disaster Prevention in North Anhui Province</w:t>
      </w:r>
    </w:p>
    <w:p w14:paraId="49DD024B">
      <w:pPr>
        <w:spacing w:line="360" w:lineRule="auto"/>
        <w:ind w:firstLine="560" w:firstLineChars="200"/>
        <w:jc w:val="left"/>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课题结题成果要求:重点课题须发表论文2篇</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含录用</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期刊要求核心期刊或被SCI/EI收录</w:t>
      </w:r>
      <w:r>
        <w:rPr>
          <w:rFonts w:hint="eastAsia" w:ascii="仿宋_GB2312" w:hAnsi="Calibri" w:eastAsia="仿宋_GB2312" w:cs="Times New Roman"/>
          <w:sz w:val="28"/>
          <w:szCs w:val="28"/>
        </w:rPr>
        <w:t>;一般课题须发表论文</w:t>
      </w:r>
      <w:r>
        <w:rPr>
          <w:rFonts w:hint="eastAsia" w:ascii="仿宋_GB2312" w:hAnsi="Calibri" w:eastAsia="仿宋_GB2312" w:cs="Times New Roman"/>
          <w:sz w:val="28"/>
          <w:szCs w:val="28"/>
          <w:lang w:val="en-US" w:eastAsia="zh-CN"/>
        </w:rPr>
        <w:t>1篇</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含录用</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并</w:t>
      </w:r>
      <w:r>
        <w:rPr>
          <w:rFonts w:hint="eastAsia" w:ascii="仿宋_GB2312" w:hAnsi="Calibri" w:eastAsia="仿宋_GB2312" w:cs="Times New Roman"/>
          <w:sz w:val="28"/>
          <w:szCs w:val="28"/>
        </w:rPr>
        <w:t>取得授权专利1项</w:t>
      </w:r>
      <w:r>
        <w:rPr>
          <w:rFonts w:hint="eastAsia" w:ascii="仿宋_GB2312" w:hAnsi="Calibri" w:eastAsia="仿宋_GB2312" w:cs="Times New Roman"/>
          <w:sz w:val="28"/>
          <w:szCs w:val="28"/>
          <w:lang w:val="en-US" w:eastAsia="zh-CN"/>
        </w:rPr>
        <w:t>，期刊要求核心期刊或被SCI/EI收录，专利涵盖发明、实用新型、外观设计。</w:t>
      </w:r>
    </w:p>
    <w:p w14:paraId="0140ECFA">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第二十条</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资助课题公开发表论文须标注“安徽省皖北地下水高效开发利用和灾害防治工程研究中心(编号:XXX)”或“</w:t>
      </w:r>
      <w:r>
        <w:rPr>
          <w:rFonts w:hint="eastAsia" w:ascii="仿宋_GB2312" w:hAnsi="Calibri" w:eastAsia="仿宋_GB2312" w:cs="Times New Roman"/>
          <w:sz w:val="28"/>
          <w:szCs w:val="28"/>
          <w:lang w:val="en-US" w:eastAsia="zh-CN"/>
        </w:rPr>
        <w:t>Supported by Engineering Research Center for Efficient Development and Utilization of Groundwater and Disaster Prevention in North Anhui Province</w:t>
      </w:r>
      <w:r>
        <w:rPr>
          <w:rFonts w:hint="eastAsia" w:ascii="仿宋_GB2312" w:hAnsi="Calibri" w:eastAsia="仿宋_GB2312" w:cs="Times New Roman"/>
          <w:sz w:val="28"/>
          <w:szCs w:val="28"/>
        </w:rPr>
        <w:t>(No.:XXX)”</w:t>
      </w:r>
    </w:p>
    <w:p w14:paraId="72A3F2B8">
      <w:pPr>
        <w:spacing w:line="360" w:lineRule="auto"/>
        <w:ind w:firstLine="560" w:firstLineChars="200"/>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第二十一条 鼓励已获得中心开放基金资助的课题继续申请更高层次的基金，攻关其</w:t>
      </w:r>
      <w:r>
        <w:rPr>
          <w:rFonts w:hint="eastAsia" w:ascii="仿宋_GB2312" w:hAnsi="Calibri" w:eastAsia="仿宋_GB2312" w:cs="Times New Roman"/>
          <w:sz w:val="28"/>
          <w:szCs w:val="28"/>
          <w:lang w:val="en-US" w:eastAsia="zh-CN"/>
        </w:rPr>
        <w:t>他</w:t>
      </w:r>
      <w:r>
        <w:rPr>
          <w:rFonts w:hint="eastAsia" w:ascii="仿宋_GB2312" w:hAnsi="Calibri" w:eastAsia="仿宋_GB2312" w:cs="Times New Roman"/>
          <w:sz w:val="28"/>
          <w:szCs w:val="28"/>
        </w:rPr>
        <w:t>重大科研项目。</w:t>
      </w:r>
    </w:p>
    <w:p w14:paraId="77164642">
      <w:pPr>
        <w:ind w:left="315" w:right="926" w:firstLine="562" w:firstLineChars="200"/>
        <w:jc w:val="center"/>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第七章 附则</w:t>
      </w:r>
    </w:p>
    <w:p w14:paraId="1941D238">
      <w:pPr>
        <w:spacing w:line="360" w:lineRule="auto"/>
        <w:ind w:firstLine="560" w:firstLineChars="200"/>
        <w:jc w:val="left"/>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第二十二条 本办法的解释权属于安徽省皖北地下水高效开发利用和灾害防治工程研究中心</w:t>
      </w:r>
      <w:r>
        <w:rPr>
          <w:rFonts w:hint="eastAsia" w:ascii="仿宋_GB2312" w:hAnsi="Calibri" w:eastAsia="仿宋_GB2312" w:cs="Times New Roman"/>
          <w:sz w:val="28"/>
          <w:szCs w:val="28"/>
          <w:lang w:eastAsia="zh-CN"/>
        </w:rPr>
        <w:t>。</w:t>
      </w:r>
    </w:p>
    <w:p w14:paraId="05ABEAA2">
      <w:pPr>
        <w:spacing w:line="360" w:lineRule="auto"/>
        <w:ind w:firstLine="560" w:firstLineChars="200"/>
        <w:jc w:val="left"/>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第二十三条</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本办法自发布之日起执行</w:t>
      </w:r>
      <w:r>
        <w:rPr>
          <w:rFonts w:hint="eastAsia" w:ascii="仿宋_GB2312" w:hAnsi="Calibri" w:eastAsia="仿宋_GB2312" w:cs="Times New Roman"/>
          <w:sz w:val="28"/>
          <w:szCs w:val="28"/>
          <w:lang w:eastAsia="zh-CN"/>
        </w:rPr>
        <w:t>。</w:t>
      </w:r>
    </w:p>
    <w:p w14:paraId="4B91301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B48E">
    <w:pPr>
      <w:widowControl w:val="0"/>
      <w:tabs>
        <w:tab w:val="center" w:pos="4153"/>
        <w:tab w:val="right" w:pos="8306"/>
      </w:tabs>
      <w:snapToGrid w:val="0"/>
      <w:ind w:firstLine="360" w:firstLineChars="200"/>
      <w:jc w:val="left"/>
      <w:rPr>
        <w:rFonts w:ascii="Calibri" w:hAnsi="Calibri" w:eastAsia="宋体" w:cs="Times New Roman"/>
        <w:kern w:val="2"/>
        <w:sz w:val="18"/>
        <w:lang w:val="en-US" w:eastAsia="zh-CN" w:bidi="ar-SA"/>
      </w:rPr>
    </w:pPr>
    <w:r>
      <w:rPr>
        <w:rFonts w:ascii="Calibri" w:hAnsi="Calibri"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DB9AA">
                          <w:pPr>
                            <w:widowControl w:val="0"/>
                            <w:tabs>
                              <w:tab w:val="center" w:pos="4153"/>
                              <w:tab w:val="right" w:pos="8306"/>
                            </w:tabs>
                            <w:snapToGrid w:val="0"/>
                            <w:ind w:firstLine="360" w:firstLineChars="200"/>
                            <w:jc w:val="left"/>
                            <w:rPr>
                              <w:rFonts w:ascii="Calibri" w:hAnsi="Calibri" w:eastAsia="宋体" w:cs="Times New Roman"/>
                              <w:kern w:val="2"/>
                              <w:sz w:val="18"/>
                              <w:lang w:val="en-US" w:eastAsia="zh-CN" w:bidi="ar-SA"/>
                            </w:rPr>
                          </w:pPr>
                          <w:r>
                            <w:rPr>
                              <w:rFonts w:ascii="Calibri" w:hAnsi="Calibri" w:eastAsia="宋体" w:cs="Times New Roman"/>
                              <w:kern w:val="2"/>
                              <w:sz w:val="18"/>
                              <w:lang w:val="en-US" w:eastAsia="zh-CN" w:bidi="ar-SA"/>
                            </w:rPr>
                            <w:fldChar w:fldCharType="begin"/>
                          </w:r>
                          <w:r>
                            <w:rPr>
                              <w:rFonts w:ascii="Calibri" w:hAnsi="Calibri" w:eastAsia="宋体" w:cs="Times New Roman"/>
                              <w:kern w:val="2"/>
                              <w:sz w:val="18"/>
                              <w:lang w:val="en-US" w:eastAsia="zh-CN" w:bidi="ar-SA"/>
                            </w:rPr>
                            <w:instrText xml:space="preserve"> PAGE  \* MERGEFORMAT </w:instrText>
                          </w:r>
                          <w:r>
                            <w:rPr>
                              <w:rFonts w:ascii="Calibri" w:hAnsi="Calibri" w:eastAsia="宋体" w:cs="Times New Roman"/>
                              <w:kern w:val="2"/>
                              <w:sz w:val="18"/>
                              <w:lang w:val="en-US" w:eastAsia="zh-CN" w:bidi="ar-SA"/>
                            </w:rPr>
                            <w:fldChar w:fldCharType="separate"/>
                          </w:r>
                          <w:r>
                            <w:rPr>
                              <w:rFonts w:ascii="Calibri" w:hAnsi="Calibri" w:eastAsia="宋体" w:cs="Times New Roman"/>
                              <w:kern w:val="2"/>
                              <w:sz w:val="18"/>
                              <w:lang w:val="en-US" w:eastAsia="zh-CN" w:bidi="ar-SA"/>
                            </w:rPr>
                            <w:t>1</w:t>
                          </w:r>
                          <w:r>
                            <w:rPr>
                              <w:rFonts w:ascii="Calibri" w:hAnsi="Calibri"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3DB9AA">
                    <w:pPr>
                      <w:widowControl w:val="0"/>
                      <w:tabs>
                        <w:tab w:val="center" w:pos="4153"/>
                        <w:tab w:val="right" w:pos="8306"/>
                      </w:tabs>
                      <w:snapToGrid w:val="0"/>
                      <w:ind w:firstLine="360" w:firstLineChars="200"/>
                      <w:jc w:val="left"/>
                      <w:rPr>
                        <w:rFonts w:ascii="Calibri" w:hAnsi="Calibri" w:eastAsia="宋体" w:cs="Times New Roman"/>
                        <w:kern w:val="2"/>
                        <w:sz w:val="18"/>
                        <w:lang w:val="en-US" w:eastAsia="zh-CN" w:bidi="ar-SA"/>
                      </w:rPr>
                    </w:pPr>
                    <w:r>
                      <w:rPr>
                        <w:rFonts w:ascii="Calibri" w:hAnsi="Calibri" w:eastAsia="宋体" w:cs="Times New Roman"/>
                        <w:kern w:val="2"/>
                        <w:sz w:val="18"/>
                        <w:lang w:val="en-US" w:eastAsia="zh-CN" w:bidi="ar-SA"/>
                      </w:rPr>
                      <w:fldChar w:fldCharType="begin"/>
                    </w:r>
                    <w:r>
                      <w:rPr>
                        <w:rFonts w:ascii="Calibri" w:hAnsi="Calibri" w:eastAsia="宋体" w:cs="Times New Roman"/>
                        <w:kern w:val="2"/>
                        <w:sz w:val="18"/>
                        <w:lang w:val="en-US" w:eastAsia="zh-CN" w:bidi="ar-SA"/>
                      </w:rPr>
                      <w:instrText xml:space="preserve"> PAGE  \* MERGEFORMAT </w:instrText>
                    </w:r>
                    <w:r>
                      <w:rPr>
                        <w:rFonts w:ascii="Calibri" w:hAnsi="Calibri" w:eastAsia="宋体" w:cs="Times New Roman"/>
                        <w:kern w:val="2"/>
                        <w:sz w:val="18"/>
                        <w:lang w:val="en-US" w:eastAsia="zh-CN" w:bidi="ar-SA"/>
                      </w:rPr>
                      <w:fldChar w:fldCharType="separate"/>
                    </w:r>
                    <w:r>
                      <w:rPr>
                        <w:rFonts w:ascii="Calibri" w:hAnsi="Calibri" w:eastAsia="宋体" w:cs="Times New Roman"/>
                        <w:kern w:val="2"/>
                        <w:sz w:val="18"/>
                        <w:lang w:val="en-US" w:eastAsia="zh-CN" w:bidi="ar-SA"/>
                      </w:rPr>
                      <w:t>1</w:t>
                    </w:r>
                    <w:r>
                      <w:rPr>
                        <w:rFonts w:ascii="Calibri" w:hAnsi="Calibri" w:eastAsia="宋体" w:cs="Times New Roman"/>
                        <w:kern w:val="2"/>
                        <w:sz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B6E67"/>
    <w:rsid w:val="70FD4148"/>
    <w:rsid w:val="78FB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2136</Words>
  <Characters>2389</Characters>
  <Lines>0</Lines>
  <Paragraphs>0</Paragraphs>
  <TotalTime>0</TotalTime>
  <ScaleCrop>false</ScaleCrop>
  <LinksUpToDate>false</LinksUpToDate>
  <CharactersWithSpaces>2457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2025-11-11T02:16:00Z</dcterms:created>
  <dc:creator>朱正华(军)</dc:creator>
  <cp:lastModifiedBy>朱正华(军)</cp:lastModifiedBy>
  <dcterms:modified xsi:type="dcterms:W3CDTF">2025-11-11T02:56:45Z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F919090BF6E045779A08F00F3DF3DF2B_11</vt:lpwstr>
  </property>
  <property fmtid="{D5CDD505-2E9C-101B-9397-08002B2CF9AE}" pid="4" name="KSOTemplateDocerSaveRecord">
    <vt:lpwstr>eyJoZGlkIjoiMmQ2ZWUzNTFlNDQ5OWU1NjMxZmRjZTU4Yzc0OGFhNTUiLCJ1c2VySWQiOiI0ODQxNDU4ODkifQ==</vt:lpwstr>
  </property>
</Properties>
</file>